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8EB" w:rsidRPr="00C648EB" w:rsidRDefault="00C648EB" w:rsidP="00C648EB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C648EB">
        <w:rPr>
          <w:rFonts w:ascii="Times New Roman" w:hAnsi="Times New Roman" w:cs="Times New Roman" w:hint="cs"/>
          <w:sz w:val="36"/>
          <w:szCs w:val="36"/>
        </w:rPr>
        <w:t>Understanding the Electrochemical Interface from First-Principles DFT with Implicit Solvation Model</w:t>
      </w:r>
    </w:p>
    <w:p w:rsidR="009154D9" w:rsidRDefault="009154D9"/>
    <w:p w:rsidR="00C648EB" w:rsidRDefault="00C648EB" w:rsidP="00C648EB">
      <w:pPr>
        <w:jc w:val="both"/>
        <w:rPr>
          <w:rFonts w:ascii="Times New Roman" w:hAnsi="Times New Roman" w:cs="Times New Roman"/>
        </w:rPr>
      </w:pPr>
      <w:r w:rsidRPr="00C648EB">
        <w:rPr>
          <w:rFonts w:ascii="Times New Roman" w:hAnsi="Times New Roman" w:cs="Times New Roman" w:hint="cs"/>
        </w:rPr>
        <w:t>Abstract:</w:t>
      </w:r>
      <w:r>
        <w:rPr>
          <w:rFonts w:ascii="Times New Roman" w:hAnsi="Times New Roman" w:cs="Times New Roman"/>
        </w:rPr>
        <w:t xml:space="preserve"> Classical molecular dynamics (CMD) has been widely used to model the electrochemical interface as a conventional way, but it failed in aqueous solution system since the experimental observation exhibited large difference from CMD prediction. To have a deeper understanding on the aqueous electrochemical interface, we applied the First-Principles DFT calculation with implicit solvation model to investigate the cation-graphene interaction under electrochemical environment. The cation-graphene interaction was found to governed by the energetic competition of cation’s hydration energy, electrostatic attraction and repulsion. In addition, beyond classical picture,</w:t>
      </w:r>
      <w:r w:rsidR="00B17D59">
        <w:rPr>
          <w:rFonts w:ascii="Times New Roman" w:hAnsi="Times New Roman" w:cs="Times New Roman"/>
        </w:rPr>
        <w:t xml:space="preserve"> space charge transfer (SCT) effect was found at the interface that significantly dependent on the specific ion type and the contact distance of cation-graphene. Moreover, the SCT effect can be even enhanced under the confinement in sub-nanometer pore. Combining with experimental characterization, the observed electrochemical behavior of aqueous electrolyte can be well explained by the synergic effect of SCT and ion accessibility. Our work provides a deeper physical insight into the aqueous electrochemical interface beyond conventional model. </w:t>
      </w:r>
    </w:p>
    <w:p w:rsidR="00B43CF0" w:rsidRPr="00C648EB" w:rsidRDefault="00B43CF0" w:rsidP="00C648EB">
      <w:pPr>
        <w:jc w:val="both"/>
        <w:rPr>
          <w:rFonts w:ascii="Times New Roman" w:hAnsi="Times New Roman" w:cs="Times New Roman"/>
        </w:rPr>
      </w:pPr>
      <w:r w:rsidRPr="00B43CF0">
        <w:rPr>
          <w:rFonts w:ascii="Times New Roman" w:hAnsi="Times New Roman" w:cs="Times New Roman"/>
        </w:rPr>
        <w:t>This work was performed under the auspices of the U.S. Department of Energy by Lawrence Livermore National Laboratory under Contract DE-AC52-07NA27344. Funding was provided by LLNL LDRD Program (no. 18-ERD-024)</w:t>
      </w:r>
      <w:r>
        <w:rPr>
          <w:rFonts w:ascii="Times New Roman" w:hAnsi="Times New Roman" w:cs="Times New Roman"/>
        </w:rPr>
        <w:t>.</w:t>
      </w:r>
    </w:p>
    <w:sectPr w:rsidR="00B43CF0" w:rsidRPr="00C648EB" w:rsidSect="00E56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EB"/>
    <w:rsid w:val="00303E24"/>
    <w:rsid w:val="00864918"/>
    <w:rsid w:val="009154D9"/>
    <w:rsid w:val="00B17D59"/>
    <w:rsid w:val="00B43CF0"/>
    <w:rsid w:val="00C648EB"/>
    <w:rsid w:val="00E5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8021B01-4C85-DC4B-8D84-3C4C8BBC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Zhan, Cheng</dc:creator>
  <cp:keywords/>
  <dc:description/>
  <cp:lastModifiedBy>Zhan, Cheng</cp:lastModifiedBy>
  <cp:revision>2</cp:revision>
  <dcterms:created xsi:type="dcterms:W3CDTF">2019-05-10T18:42:00Z</dcterms:created>
  <dcterms:modified xsi:type="dcterms:W3CDTF">2019-05-10T18:42:00Z</dcterms:modified>
</cp:coreProperties>
</file>