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83901" w14:textId="77777777" w:rsidR="00525944" w:rsidRPr="00525944" w:rsidRDefault="00525944" w:rsidP="00525944">
      <w:r w:rsidRPr="00525944">
        <w:t>First Principle Polaron Modeling in Hybrid Perovskites Using the GGA+U Method </w:t>
      </w:r>
    </w:p>
    <w:p w14:paraId="017E4A5C" w14:textId="77777777" w:rsidR="00525944" w:rsidRDefault="00525944" w:rsidP="00525944">
      <w:r w:rsidRPr="00525944">
        <w:rPr>
          <w:u w:val="single"/>
        </w:rPr>
        <w:t>Eric Welch</w:t>
      </w:r>
      <w:proofErr w:type="gramStart"/>
      <w:r w:rsidRPr="00525944">
        <w:rPr>
          <w:u w:val="single"/>
          <w:vertAlign w:val="superscript"/>
        </w:rPr>
        <w:t>1,*</w:t>
      </w:r>
      <w:proofErr w:type="gramEnd"/>
      <w:r w:rsidRPr="00525944">
        <w:t>, Amanda Neukirch</w:t>
      </w:r>
      <w:r w:rsidRPr="00525944">
        <w:rPr>
          <w:vertAlign w:val="superscript"/>
        </w:rPr>
        <w:t>2</w:t>
      </w:r>
      <w:r w:rsidRPr="00525944">
        <w:t>, Sergei Tretiak</w:t>
      </w:r>
      <w:r w:rsidRPr="00525944">
        <w:rPr>
          <w:vertAlign w:val="superscript"/>
        </w:rPr>
        <w:t>2</w:t>
      </w:r>
      <w:r w:rsidRPr="00525944">
        <w:t>, , Petr Obraztsov</w:t>
      </w:r>
      <w:r w:rsidRPr="00525944">
        <w:rPr>
          <w:vertAlign w:val="superscript"/>
        </w:rPr>
        <w:t>4,5</w:t>
      </w:r>
      <w:r w:rsidRPr="00525944">
        <w:t>, Dmitry Lyashenko</w:t>
      </w:r>
      <w:r w:rsidRPr="00525944">
        <w:rPr>
          <w:vertAlign w:val="superscript"/>
        </w:rPr>
        <w:t>1</w:t>
      </w:r>
      <w:r w:rsidRPr="00525944">
        <w:t>, Pavel Chizhov</w:t>
      </w:r>
      <w:r w:rsidRPr="00525944">
        <w:rPr>
          <w:vertAlign w:val="superscript"/>
        </w:rPr>
        <w:t>4</w:t>
      </w:r>
      <w:r w:rsidRPr="00525944">
        <w:t xml:space="preserve">, </w:t>
      </w:r>
      <w:proofErr w:type="spellStart"/>
      <w:r w:rsidRPr="00525944">
        <w:t>Kuniaki</w:t>
      </w:r>
      <w:proofErr w:type="spellEnd"/>
      <w:r w:rsidRPr="00525944">
        <w:t xml:space="preserve"> Konishi</w:t>
      </w:r>
      <w:r w:rsidRPr="00525944">
        <w:rPr>
          <w:vertAlign w:val="superscript"/>
        </w:rPr>
        <w:t>6</w:t>
      </w:r>
      <w:r w:rsidRPr="00525944">
        <w:t xml:space="preserve">, </w:t>
      </w:r>
      <w:proofErr w:type="spellStart"/>
      <w:r w:rsidRPr="00525944">
        <w:t>Natsuki</w:t>
      </w:r>
      <w:proofErr w:type="spellEnd"/>
      <w:r w:rsidRPr="00525944">
        <w:t xml:space="preserve"> Nemoto</w:t>
      </w:r>
      <w:r w:rsidRPr="00525944">
        <w:rPr>
          <w:vertAlign w:val="superscript"/>
        </w:rPr>
        <w:t>7</w:t>
      </w:r>
      <w:r w:rsidRPr="00525944">
        <w:t>, Makoto Kuwata-Gonokami</w:t>
      </w:r>
      <w:r w:rsidRPr="00525944">
        <w:rPr>
          <w:vertAlign w:val="superscript"/>
        </w:rPr>
        <w:t>7</w:t>
      </w:r>
      <w:r w:rsidRPr="00525944">
        <w:t>, Alexander Obraztsov</w:t>
      </w:r>
      <w:r w:rsidRPr="00525944">
        <w:rPr>
          <w:vertAlign w:val="superscript"/>
        </w:rPr>
        <w:t>4,8</w:t>
      </w:r>
      <w:r w:rsidRPr="00525944">
        <w:t>, Alex Zakhidov</w:t>
      </w:r>
      <w:r w:rsidRPr="00525944">
        <w:rPr>
          <w:vertAlign w:val="superscript"/>
        </w:rPr>
        <w:t>1,3</w:t>
      </w:r>
      <w:r w:rsidRPr="00525944">
        <w:t xml:space="preserve"> </w:t>
      </w:r>
      <w:r w:rsidRPr="00525944">
        <w:br/>
      </w:r>
    </w:p>
    <w:p w14:paraId="6296B91D" w14:textId="37E5AF2E" w:rsidR="00525944" w:rsidRPr="00525944" w:rsidRDefault="00525944" w:rsidP="00525944">
      <w:r w:rsidRPr="00525944">
        <w:rPr>
          <w:vertAlign w:val="superscript"/>
        </w:rPr>
        <w:t>1</w:t>
      </w:r>
      <w:r w:rsidRPr="00525944">
        <w:t xml:space="preserve"> Department of Material Science, Engineering and </w:t>
      </w:r>
      <w:proofErr w:type="spellStart"/>
      <w:r w:rsidRPr="00525944">
        <w:t>Commericialization</w:t>
      </w:r>
      <w:proofErr w:type="spellEnd"/>
      <w:r w:rsidRPr="00525944">
        <w:t>, Texas State University (</w:t>
      </w:r>
      <w:r w:rsidRPr="00525944">
        <w:rPr>
          <w:vertAlign w:val="superscript"/>
        </w:rPr>
        <w:t>*</w:t>
      </w:r>
      <w:r w:rsidRPr="00525944">
        <w:t xml:space="preserve">email: </w:t>
      </w:r>
      <w:hyperlink r:id="rId4" w:history="1">
        <w:r w:rsidRPr="00525944">
          <w:rPr>
            <w:rStyle w:val="Hyperlink"/>
          </w:rPr>
          <w:t>eww9@txstate.edu</w:t>
        </w:r>
      </w:hyperlink>
      <w:r w:rsidRPr="00525944">
        <w:t xml:space="preserve">); </w:t>
      </w:r>
      <w:r w:rsidRPr="00525944">
        <w:rPr>
          <w:vertAlign w:val="superscript"/>
        </w:rPr>
        <w:t>2</w:t>
      </w:r>
      <w:r w:rsidRPr="00525944">
        <w:t xml:space="preserve"> Theoretical Division, Los Alamos National Laboratory, Los Alamos, NM, 87545; </w:t>
      </w:r>
      <w:r w:rsidRPr="00525944">
        <w:rPr>
          <w:vertAlign w:val="superscript"/>
        </w:rPr>
        <w:t>3</w:t>
      </w:r>
      <w:r w:rsidRPr="00525944">
        <w:t xml:space="preserve"> Department of Physics, Texas State University, San Marcos, TX, 78666; </w:t>
      </w:r>
      <w:r w:rsidRPr="00525944">
        <w:rPr>
          <w:vertAlign w:val="superscript"/>
        </w:rPr>
        <w:t>4</w:t>
      </w:r>
      <w:r w:rsidRPr="00525944">
        <w:t xml:space="preserve"> A. M. Prokhorov General Physics Institute, Moscow,  Russia, 119991; </w:t>
      </w:r>
      <w:r w:rsidRPr="00525944">
        <w:rPr>
          <w:vertAlign w:val="superscript"/>
        </w:rPr>
        <w:t>5</w:t>
      </w:r>
      <w:r w:rsidRPr="00525944">
        <w:t xml:space="preserve"> Department of Physics and Mathematics, University of Eastern Finland, Joensuu, Finland, 80101; </w:t>
      </w:r>
      <w:r w:rsidRPr="00525944">
        <w:rPr>
          <w:vertAlign w:val="superscript"/>
        </w:rPr>
        <w:t>6</w:t>
      </w:r>
      <w:r w:rsidRPr="00525944">
        <w:t xml:space="preserve"> Institute for Photon Science and Technology, The University of Tokyo, Tokyo, Japan, 113-0033; </w:t>
      </w:r>
      <w:r w:rsidRPr="00525944">
        <w:rPr>
          <w:vertAlign w:val="superscript"/>
        </w:rPr>
        <w:t>7</w:t>
      </w:r>
      <w:r w:rsidRPr="00525944">
        <w:t xml:space="preserve"> Department of Physics, The University of Tokyo, Tokyo, Japan, 113-0033; </w:t>
      </w:r>
      <w:bookmarkStart w:id="0" w:name="_GoBack"/>
      <w:r w:rsidRPr="00525944">
        <w:rPr>
          <w:vertAlign w:val="superscript"/>
        </w:rPr>
        <w:t>8</w:t>
      </w:r>
      <w:r w:rsidRPr="00525944">
        <w:t xml:space="preserve"> </w:t>
      </w:r>
      <w:bookmarkEnd w:id="0"/>
      <w:r w:rsidRPr="00525944">
        <w:t xml:space="preserve">Department of Physics, M.V. </w:t>
      </w:r>
      <w:proofErr w:type="spellStart"/>
      <w:r w:rsidRPr="00525944">
        <w:t>Lomonsov</w:t>
      </w:r>
      <w:proofErr w:type="spellEnd"/>
      <w:r w:rsidRPr="00525944">
        <w:t xml:space="preserve"> Moscow State University, Moscow, Russia, 119991</w:t>
      </w:r>
    </w:p>
    <w:p w14:paraId="2F1BE3D0" w14:textId="5BFF7189" w:rsidR="00525944" w:rsidRDefault="00525944" w:rsidP="00525944"/>
    <w:p w14:paraId="71B37FD7" w14:textId="77777777" w:rsidR="00525944" w:rsidRDefault="00525944" w:rsidP="00525944"/>
    <w:p w14:paraId="44B1070D" w14:textId="02247D51" w:rsidR="00525944" w:rsidRPr="00525944" w:rsidRDefault="00525944" w:rsidP="00525944">
      <w:r w:rsidRPr="00525944">
        <w:t>Hybrid perovskite based solar cells have reached over 23% efficiency in just over five years, causing research in this area to thrive.  With optimum photovoltaic properties like a V</w:t>
      </w:r>
      <w:r w:rsidRPr="00525944">
        <w:rPr>
          <w:vertAlign w:val="subscript"/>
        </w:rPr>
        <w:t>OC</w:t>
      </w:r>
      <w:r w:rsidRPr="00525944">
        <w:t xml:space="preserve"> &gt; 1 V, J</w:t>
      </w:r>
      <w:r w:rsidRPr="00525944">
        <w:rPr>
          <w:vertAlign w:val="subscript"/>
        </w:rPr>
        <w:t>SC</w:t>
      </w:r>
      <w:r w:rsidRPr="00525944">
        <w:t xml:space="preserve"> &gt; 25 </w:t>
      </w:r>
      <m:oMath>
        <m:f>
          <m:fPr>
            <m:ctrlPr>
              <w:rPr>
                <w:rFonts w:ascii="Cambria Math" w:hAnsi="Cambria Math"/>
                <w:i/>
                <w:iCs/>
              </w:rPr>
            </m:ctrlPr>
          </m:fPr>
          <m:num>
            <m:r>
              <w:rPr>
                <w:rFonts w:ascii="Cambria Math" w:hAnsi="Cambria Math"/>
              </w:rPr>
              <m:t>mA</m:t>
            </m:r>
          </m:num>
          <m:den>
            <m:r>
              <w:rPr>
                <w:rFonts w:ascii="Cambria Math" w:hAnsi="Cambria Math"/>
              </w:rPr>
              <m:t>c</m:t>
            </m:r>
            <m:sSup>
              <m:sSupPr>
                <m:ctrlPr>
                  <w:rPr>
                    <w:rFonts w:ascii="Cambria Math" w:hAnsi="Cambria Math"/>
                    <w:i/>
                    <w:iCs/>
                  </w:rPr>
                </m:ctrlPr>
              </m:sSupPr>
              <m:e>
                <m:r>
                  <w:rPr>
                    <w:rFonts w:ascii="Cambria Math" w:hAnsi="Cambria Math"/>
                  </w:rPr>
                  <m:t>m</m:t>
                </m:r>
              </m:e>
              <m:sup>
                <m:r>
                  <w:rPr>
                    <w:rFonts w:ascii="Cambria Math" w:hAnsi="Cambria Math"/>
                  </w:rPr>
                  <m:t>2</m:t>
                </m:r>
              </m:sup>
            </m:sSup>
          </m:den>
        </m:f>
      </m:oMath>
      <w:r w:rsidRPr="00525944">
        <w:t>, inexpensive, solution-processable precursors and low temperature processing temperatures, devices using the light harvesting material CH</w:t>
      </w:r>
      <w:r w:rsidRPr="00525944">
        <w:rPr>
          <w:vertAlign w:val="subscript"/>
        </w:rPr>
        <w:t>3</w:t>
      </w:r>
      <w:r w:rsidRPr="00525944">
        <w:t>NH</w:t>
      </w:r>
      <w:r w:rsidRPr="00525944">
        <w:rPr>
          <w:vertAlign w:val="subscript"/>
        </w:rPr>
        <w:t>3</w:t>
      </w:r>
      <w:r w:rsidRPr="00525944">
        <w:t>PbI</w:t>
      </w:r>
      <w:r w:rsidRPr="00525944">
        <w:rPr>
          <w:vertAlign w:val="subscript"/>
        </w:rPr>
        <w:t>3</w:t>
      </w:r>
      <w:r w:rsidRPr="00525944">
        <w:t xml:space="preserve"> promises to fill the need for large-scale, commercial, renewable energy sources.  However, anomalous device behavior (e.g. JV hysteresis) and device stability still prevent these materials from becoming the next generation solar cells in the market.  Ab initio calculations are abundant concerning electronic and optical properties of these materials in a search for an underlying theory to explain the adverse behaviors seen in hybrid perovskite solar cells.  This study uses Hubbard corrected local potentials (GGA+U) to study polarons in the benchmark hybrid perovskite light harvesting material CH</w:t>
      </w:r>
      <w:r w:rsidRPr="00525944">
        <w:rPr>
          <w:vertAlign w:val="subscript"/>
        </w:rPr>
        <w:t>3</w:t>
      </w:r>
      <w:r w:rsidRPr="00525944">
        <w:t>NH</w:t>
      </w:r>
      <w:r w:rsidRPr="00525944">
        <w:rPr>
          <w:vertAlign w:val="subscript"/>
        </w:rPr>
        <w:t>3</w:t>
      </w:r>
      <w:r w:rsidRPr="00525944">
        <w:t>PbI</w:t>
      </w:r>
      <w:r w:rsidRPr="00525944">
        <w:rPr>
          <w:vertAlign w:val="subscript"/>
        </w:rPr>
        <w:t xml:space="preserve">3.  </w:t>
      </w:r>
      <w:r w:rsidRPr="00525944">
        <w:t xml:space="preserve">Spin-orbit coupling (SOC) occurs in elements with valence electrons residing in d/f-orbitals, and relativistic effects must be taken into account.  The heavy lead and iodine atoms in CH3NH3PbI3 require SOC corrections which result in the lifting of degeneracies near the HOMO-LUMO gap.  Polarons are still present with SOC corrections while the lifting of degeneracies results in momentum-dependent </w:t>
      </w:r>
      <w:proofErr w:type="spellStart"/>
      <w:r w:rsidRPr="00525944">
        <w:t>Rashba</w:t>
      </w:r>
      <w:proofErr w:type="spellEnd"/>
      <w:r w:rsidRPr="00525944">
        <w:t xml:space="preserve"> splitting of the electronic band edges.  These results were tested experimentally using THz emission spectroscopy which confirmed the presence of the circular </w:t>
      </w:r>
      <w:proofErr w:type="spellStart"/>
      <w:r w:rsidRPr="00525944">
        <w:t>photogalvanic</w:t>
      </w:r>
      <w:proofErr w:type="spellEnd"/>
      <w:r w:rsidRPr="00525944">
        <w:t xml:space="preserve"> effect in a solar cell device.  With these theoretical and experimental results, CH3NH3PbI3 is realized as a robust material for multiple spin-controlled opto-electronic applications e.g. spintronics, ultra-fast photodetectors, tunable THz emitters, etc.</w:t>
      </w:r>
    </w:p>
    <w:p w14:paraId="346D2433" w14:textId="77777777" w:rsidR="00A7089E" w:rsidRPr="00525944" w:rsidRDefault="00525944"/>
    <w:sectPr w:rsidR="00A7089E" w:rsidRPr="00525944" w:rsidSect="0019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44"/>
    <w:rsid w:val="0019373B"/>
    <w:rsid w:val="00525944"/>
    <w:rsid w:val="00DE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C0896"/>
  <w15:chartTrackingRefBased/>
  <w15:docId w15:val="{981DE18F-3047-DA45-9DF0-54DF1297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944"/>
    <w:rPr>
      <w:color w:val="0563C1" w:themeColor="hyperlink"/>
      <w:u w:val="single"/>
    </w:rPr>
  </w:style>
  <w:style w:type="character" w:styleId="UnresolvedMention">
    <w:name w:val="Unresolved Mention"/>
    <w:basedOn w:val="DefaultParagraphFont"/>
    <w:uiPriority w:val="99"/>
    <w:semiHidden/>
    <w:unhideWhenUsed/>
    <w:rsid w:val="00525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1705">
      <w:bodyDiv w:val="1"/>
      <w:marLeft w:val="0"/>
      <w:marRight w:val="0"/>
      <w:marTop w:val="0"/>
      <w:marBottom w:val="0"/>
      <w:divBdr>
        <w:top w:val="none" w:sz="0" w:space="0" w:color="auto"/>
        <w:left w:val="none" w:sz="0" w:space="0" w:color="auto"/>
        <w:bottom w:val="none" w:sz="0" w:space="0" w:color="auto"/>
        <w:right w:val="none" w:sz="0" w:space="0" w:color="auto"/>
      </w:divBdr>
    </w:div>
    <w:div w:id="775641940">
      <w:bodyDiv w:val="1"/>
      <w:marLeft w:val="0"/>
      <w:marRight w:val="0"/>
      <w:marTop w:val="0"/>
      <w:marBottom w:val="0"/>
      <w:divBdr>
        <w:top w:val="none" w:sz="0" w:space="0" w:color="auto"/>
        <w:left w:val="none" w:sz="0" w:space="0" w:color="auto"/>
        <w:bottom w:val="none" w:sz="0" w:space="0" w:color="auto"/>
        <w:right w:val="none" w:sz="0" w:space="0" w:color="auto"/>
      </w:divBdr>
    </w:div>
    <w:div w:id="14101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ww9@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Eric W</dc:creator>
  <cp:keywords/>
  <dc:description/>
  <cp:lastModifiedBy>Welch, Eric W</cp:lastModifiedBy>
  <cp:revision>1</cp:revision>
  <dcterms:created xsi:type="dcterms:W3CDTF">2019-05-03T22:15:00Z</dcterms:created>
  <dcterms:modified xsi:type="dcterms:W3CDTF">2019-05-03T22:18:00Z</dcterms:modified>
</cp:coreProperties>
</file>